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6A" w:rsidRPr="003F08F4" w:rsidRDefault="0010596A" w:rsidP="0010596A">
      <w:pPr>
        <w:spacing w:after="0" w:line="240" w:lineRule="auto"/>
        <w:rPr>
          <w:b/>
          <w:sz w:val="24"/>
          <w:szCs w:val="24"/>
        </w:rPr>
      </w:pPr>
      <w:r w:rsidRPr="003F08F4">
        <w:rPr>
          <w:b/>
          <w:sz w:val="24"/>
          <w:szCs w:val="24"/>
        </w:rPr>
        <w:t>Contra Costa College</w:t>
      </w:r>
    </w:p>
    <w:p w:rsidR="0010596A" w:rsidRPr="003F08F4" w:rsidRDefault="0010596A" w:rsidP="0010596A">
      <w:pPr>
        <w:spacing w:after="0" w:line="240" w:lineRule="auto"/>
        <w:rPr>
          <w:b/>
          <w:sz w:val="24"/>
          <w:szCs w:val="24"/>
        </w:rPr>
      </w:pPr>
      <w:r w:rsidRPr="003F08F4">
        <w:rPr>
          <w:b/>
          <w:sz w:val="24"/>
          <w:szCs w:val="24"/>
        </w:rPr>
        <w:t>Associate in Science in Early Childhood Education for Transfer</w:t>
      </w:r>
    </w:p>
    <w:p w:rsidR="0010596A" w:rsidRPr="003F08F4" w:rsidRDefault="0010596A" w:rsidP="0010596A">
      <w:pPr>
        <w:spacing w:after="0" w:line="240" w:lineRule="auto"/>
        <w:rPr>
          <w:b/>
          <w:sz w:val="24"/>
          <w:szCs w:val="24"/>
        </w:rPr>
      </w:pPr>
      <w:r w:rsidRPr="003F08F4">
        <w:rPr>
          <w:b/>
          <w:sz w:val="24"/>
          <w:szCs w:val="24"/>
        </w:rPr>
        <w:t>Narrative</w:t>
      </w:r>
    </w:p>
    <w:p w:rsidR="0010596A" w:rsidRPr="003F08F4" w:rsidRDefault="0010596A" w:rsidP="0010596A">
      <w:pPr>
        <w:spacing w:after="0" w:line="240" w:lineRule="auto"/>
        <w:rPr>
          <w:sz w:val="24"/>
          <w:szCs w:val="24"/>
        </w:rPr>
      </w:pPr>
    </w:p>
    <w:p w:rsidR="0010596A" w:rsidRPr="003F08F4" w:rsidRDefault="0010596A" w:rsidP="0010596A">
      <w:pPr>
        <w:spacing w:after="0" w:line="240" w:lineRule="auto"/>
        <w:rPr>
          <w:b/>
          <w:sz w:val="24"/>
          <w:szCs w:val="24"/>
          <w:u w:val="single"/>
        </w:rPr>
      </w:pPr>
      <w:r w:rsidRPr="003F08F4">
        <w:rPr>
          <w:b/>
          <w:sz w:val="24"/>
          <w:szCs w:val="24"/>
          <w:u w:val="single"/>
        </w:rPr>
        <w:t>ITEM 1: Goal and Objectives</w:t>
      </w:r>
    </w:p>
    <w:p w:rsidR="0010596A" w:rsidRPr="003F08F4" w:rsidRDefault="0010596A" w:rsidP="0010596A">
      <w:pPr>
        <w:spacing w:after="0" w:line="240" w:lineRule="auto"/>
        <w:rPr>
          <w:sz w:val="24"/>
          <w:szCs w:val="24"/>
        </w:rPr>
      </w:pPr>
    </w:p>
    <w:p w:rsidR="0010596A" w:rsidRPr="003F08F4" w:rsidRDefault="0010596A" w:rsidP="0010596A">
      <w:pPr>
        <w:widowControl w:val="0"/>
        <w:autoSpaceDE w:val="0"/>
        <w:autoSpaceDN w:val="0"/>
        <w:adjustRightInd w:val="0"/>
        <w:rPr>
          <w:sz w:val="24"/>
          <w:szCs w:val="24"/>
        </w:rPr>
      </w:pPr>
      <w:r w:rsidRPr="003F08F4">
        <w:rPr>
          <w:rFonts w:cs="Arial Narrow"/>
          <w:color w:val="000000"/>
          <w:sz w:val="24"/>
          <w:szCs w:val="24"/>
        </w:rPr>
        <w:t>The Associate in Science in Early Childhood Education for Transfer (AS-T) degree is designed to prepare a transfer pathway for students who plan to complete a baccalaureate degree in Child Development or similar major at a California State University (CSU), while also serving the diverse needs of students interested in the breadth and depth of the field of early childhood education.  With the completion of the AS-T in Early Childhood education, students will possess foundational knowledge and skills that comprise the core content of the first two years of many baccalaureate programs in Child Development.</w:t>
      </w:r>
      <w:r w:rsidRPr="003F08F4">
        <w:rPr>
          <w:sz w:val="24"/>
          <w:szCs w:val="24"/>
        </w:rPr>
        <w:t xml:space="preserve"> The </w:t>
      </w:r>
      <w:r w:rsidRPr="003F08F4">
        <w:rPr>
          <w:rFonts w:cs="Arial Narrow"/>
          <w:color w:val="000000"/>
          <w:sz w:val="24"/>
          <w:szCs w:val="24"/>
        </w:rPr>
        <w:t xml:space="preserve">AS-T in Early Childhood Development </w:t>
      </w:r>
      <w:r w:rsidRPr="003F08F4">
        <w:rPr>
          <w:sz w:val="24"/>
          <w:szCs w:val="24"/>
        </w:rPr>
        <w:t xml:space="preserve">is in alignment with the current mission of the college and the college’s strategic plan and initiatives. </w:t>
      </w:r>
    </w:p>
    <w:p w:rsidR="0010596A" w:rsidRPr="003F08F4" w:rsidRDefault="0010596A" w:rsidP="0010596A">
      <w:pPr>
        <w:widowControl w:val="0"/>
        <w:autoSpaceDE w:val="0"/>
        <w:autoSpaceDN w:val="0"/>
        <w:adjustRightInd w:val="0"/>
        <w:rPr>
          <w:sz w:val="24"/>
          <w:szCs w:val="24"/>
        </w:rPr>
      </w:pPr>
      <w:r w:rsidRPr="003F08F4">
        <w:rPr>
          <w:sz w:val="24"/>
          <w:szCs w:val="24"/>
        </w:rPr>
        <w:t>The Associate in Science degree in Early Childhood Education (ECE) for Transfer (AS-T) provides a clearly articulated curricular track for students who wish to transfer to a California State University (CSU) campus, while also serving the diverse needs of students interested in the breadth and depth of the field of early childhood education. Additionally, this degree exposes students to the core principles and practices of the field in order to build a foundation for their future personal, academic, or vocational paths.</w:t>
      </w:r>
    </w:p>
    <w:p w:rsidR="0010596A" w:rsidRPr="003F08F4" w:rsidRDefault="0010596A" w:rsidP="0010596A">
      <w:pPr>
        <w:widowControl w:val="0"/>
        <w:autoSpaceDE w:val="0"/>
        <w:autoSpaceDN w:val="0"/>
        <w:adjustRightInd w:val="0"/>
        <w:spacing w:before="100" w:after="100"/>
        <w:jc w:val="both"/>
        <w:rPr>
          <w:rFonts w:cs="Calibri"/>
          <w:b/>
          <w:bCs/>
          <w:color w:val="000000"/>
          <w:sz w:val="24"/>
          <w:szCs w:val="24"/>
        </w:rPr>
      </w:pPr>
      <w:r w:rsidRPr="003F08F4">
        <w:rPr>
          <w:rFonts w:cs="Calibri"/>
          <w:b/>
          <w:bCs/>
          <w:color w:val="000000"/>
          <w:sz w:val="24"/>
          <w:szCs w:val="24"/>
        </w:rPr>
        <w:t xml:space="preserve">Program Student Learning Outcomes </w:t>
      </w:r>
    </w:p>
    <w:p w:rsidR="0010596A" w:rsidRPr="00D14295" w:rsidRDefault="0010596A" w:rsidP="0010596A">
      <w:pPr>
        <w:pStyle w:val="NormalWeb"/>
        <w:ind w:left="720"/>
      </w:pPr>
      <w:r w:rsidRPr="00D14295">
        <w:t>Upon completion of this program, the student will be able to:</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synthesize</w:t>
      </w:r>
      <w:proofErr w:type="gramEnd"/>
      <w:r w:rsidRPr="00D14295">
        <w:rPr>
          <w:szCs w:val="24"/>
        </w:rPr>
        <w:t xml:space="preserve"> child development research with principles and practices for early childhood teaching to create early learning environments that are respectful, supportive, and challenging for all children, from infancy through adolescence.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design</w:t>
      </w:r>
      <w:proofErr w:type="gramEnd"/>
      <w:r w:rsidRPr="00D14295">
        <w:rPr>
          <w:szCs w:val="24"/>
        </w:rPr>
        <w:t xml:space="preserve"> inclusive, culturally and linguistically appropriate learning environments, based on child development, child observations, family information and knowledge of culturally diverse child rearing practices.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incorporate</w:t>
      </w:r>
      <w:proofErr w:type="gramEnd"/>
      <w:r w:rsidRPr="00D14295">
        <w:rPr>
          <w:szCs w:val="24"/>
        </w:rPr>
        <w:t xml:space="preserve"> strategies for building respectful, reciprocal family and community relationships in order to support families with their children’s development and learning.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assess</w:t>
      </w:r>
      <w:proofErr w:type="gramEnd"/>
      <w:r w:rsidRPr="00D14295">
        <w:rPr>
          <w:szCs w:val="24"/>
        </w:rPr>
        <w:t xml:space="preserve"> children's learning through observation, documentation, and interpretation, using results to guide curriculum and teaching strategies.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recommend</w:t>
      </w:r>
      <w:proofErr w:type="gramEnd"/>
      <w:r w:rsidRPr="00D14295">
        <w:rPr>
          <w:szCs w:val="24"/>
        </w:rPr>
        <w:t xml:space="preserve"> developmentally appropriate and culturally relevant approaches to teaching and learning that include respectful, supportive relationships with children and families, and curriculum that support foundational skills and concepts in language, math, science, art, and social relationships.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demonstrate</w:t>
      </w:r>
      <w:proofErr w:type="gramEnd"/>
      <w:r w:rsidRPr="00D14295">
        <w:rPr>
          <w:szCs w:val="24"/>
        </w:rPr>
        <w:t xml:space="preserve"> practices that maintain standards of health, nutrition, and safety in group care early childhood settings.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apply</w:t>
      </w:r>
      <w:proofErr w:type="gramEnd"/>
      <w:r w:rsidRPr="00D14295">
        <w:rPr>
          <w:szCs w:val="24"/>
        </w:rPr>
        <w:t xml:space="preserve"> ethical standards of behavior accepted by the profession of early childhood education. </w:t>
      </w:r>
    </w:p>
    <w:p w:rsidR="0010596A" w:rsidRDefault="0010596A" w:rsidP="0010596A">
      <w:pPr>
        <w:spacing w:before="100" w:beforeAutospacing="1" w:after="100" w:afterAutospacing="1" w:line="240" w:lineRule="auto"/>
        <w:rPr>
          <w:b/>
          <w:sz w:val="24"/>
          <w:szCs w:val="24"/>
          <w:u w:val="single"/>
        </w:rPr>
      </w:pPr>
    </w:p>
    <w:p w:rsidR="0010596A" w:rsidRDefault="0010596A" w:rsidP="0010596A">
      <w:pPr>
        <w:spacing w:before="100" w:beforeAutospacing="1" w:after="100" w:afterAutospacing="1" w:line="240" w:lineRule="auto"/>
        <w:rPr>
          <w:b/>
          <w:sz w:val="24"/>
          <w:szCs w:val="24"/>
          <w:u w:val="single"/>
        </w:rPr>
      </w:pPr>
      <w:r w:rsidRPr="003F08F4">
        <w:rPr>
          <w:b/>
          <w:sz w:val="24"/>
          <w:szCs w:val="24"/>
          <w:u w:val="single"/>
        </w:rPr>
        <w:lastRenderedPageBreak/>
        <w:t>ITEM 2: Catalog Description</w:t>
      </w:r>
    </w:p>
    <w:p w:rsidR="0010596A" w:rsidRPr="0010596A" w:rsidRDefault="0010596A" w:rsidP="0010596A">
      <w:pPr>
        <w:tabs>
          <w:tab w:val="left" w:pos="360"/>
        </w:tabs>
        <w:spacing w:after="0" w:line="240" w:lineRule="auto"/>
        <w:ind w:left="720"/>
        <w:contextualSpacing/>
        <w:rPr>
          <w:rFonts w:ascii="Times New Roman" w:eastAsia="Times New Roman" w:hAnsi="Times New Roman" w:cs="Times New Roman"/>
          <w:sz w:val="24"/>
          <w:szCs w:val="20"/>
        </w:rPr>
      </w:pPr>
      <w:r w:rsidRPr="0010596A">
        <w:rPr>
          <w:rFonts w:ascii="Times New Roman" w:eastAsia="Times New Roman" w:hAnsi="Times New Roman" w:cs="Times New Roman"/>
          <w:sz w:val="24"/>
          <w:szCs w:val="20"/>
        </w:rPr>
        <w:t xml:space="preserve">The Associate in Science degree in Early Childhood Education (ECE) for Transfer provides a clearly articulated curricular track for students who wish to transfer to a CSU campus, while also serving the diverse needs of students interested in the breadth and depth of the field of early childhood education. Additionally, this degree exposes students to the core principles and practices of the field in order to build a foundation for their future personal, academic, or vocational paths. </w:t>
      </w:r>
      <w:r w:rsidRPr="0010596A">
        <w:rPr>
          <w:rFonts w:ascii="Times New Roman" w:eastAsia="Times New Roman" w:hAnsi="Times New Roman" w:cs="Times New Roman"/>
          <w:sz w:val="24"/>
          <w:szCs w:val="20"/>
        </w:rPr>
        <w:br/>
      </w:r>
      <w:r w:rsidRPr="0010596A">
        <w:rPr>
          <w:rFonts w:ascii="Times New Roman" w:eastAsia="Times New Roman" w:hAnsi="Times New Roman" w:cs="Times New Roman"/>
          <w:sz w:val="24"/>
          <w:szCs w:val="20"/>
        </w:rPr>
        <w:br/>
        <w:t xml:space="preserve">The degree was designed to facilitate students’ successful transfer to certain California State University (CSU) campuses that prepare them for advanced study in a variety of graduate programs, as well as a variety of careers such as teaching, Child Development Specialist, Program Directors, and Child Life Specialists. With a BA in ECE/Child Development, students are eligible for the Master Teacher and Site Supervisor levels of the CA Child Development Permit, using the Alternative Qualifications category. </w:t>
      </w:r>
      <w:r w:rsidRPr="0010596A">
        <w:rPr>
          <w:rFonts w:ascii="Times New Roman" w:eastAsia="Times New Roman" w:hAnsi="Times New Roman" w:cs="Times New Roman"/>
          <w:sz w:val="24"/>
          <w:szCs w:val="20"/>
        </w:rPr>
        <w:br/>
      </w:r>
      <w:r w:rsidRPr="0010596A">
        <w:rPr>
          <w:rFonts w:ascii="Times New Roman" w:eastAsia="Times New Roman" w:hAnsi="Times New Roman" w:cs="Times New Roman"/>
          <w:sz w:val="24"/>
          <w:szCs w:val="20"/>
        </w:rPr>
        <w:br/>
        <w:t xml:space="preserve">The Associate in Science degree in ECE for Transfer provides students with a major that fulfills the general requirements of the California State University for transfer. Students with this degree will receive priority admission with junior status to certain California State University campuses. </w:t>
      </w:r>
      <w:r w:rsidRPr="0010596A">
        <w:rPr>
          <w:rFonts w:ascii="Times New Roman" w:eastAsia="Times New Roman" w:hAnsi="Times New Roman" w:cs="Times New Roman"/>
          <w:sz w:val="24"/>
          <w:szCs w:val="20"/>
        </w:rPr>
        <w:br/>
      </w:r>
      <w:r w:rsidRPr="0010596A">
        <w:rPr>
          <w:rFonts w:ascii="Times New Roman" w:eastAsia="Times New Roman" w:hAnsi="Times New Roman" w:cs="Times New Roman"/>
          <w:sz w:val="24"/>
          <w:szCs w:val="20"/>
        </w:rPr>
        <w:br/>
        <w:t>The ECE courses required in this program are part of the CA Curriculum Alignment Project, Lower Division 8 coursework.</w:t>
      </w:r>
    </w:p>
    <w:p w:rsidR="0010596A" w:rsidRPr="003F08F4" w:rsidRDefault="0010596A" w:rsidP="0010596A">
      <w:pPr>
        <w:spacing w:before="100" w:beforeAutospacing="1" w:after="100" w:afterAutospacing="1" w:line="240" w:lineRule="auto"/>
        <w:rPr>
          <w:b/>
          <w:sz w:val="24"/>
          <w:szCs w:val="24"/>
          <w:u w:val="single"/>
        </w:rPr>
      </w:pPr>
    </w:p>
    <w:p w:rsidR="0010596A" w:rsidRPr="003F08F4" w:rsidRDefault="0010596A" w:rsidP="0010596A">
      <w:pPr>
        <w:spacing w:before="100" w:beforeAutospacing="1" w:after="100" w:afterAutospacing="1" w:line="240" w:lineRule="auto"/>
        <w:rPr>
          <w:b/>
          <w:sz w:val="24"/>
          <w:szCs w:val="24"/>
        </w:rPr>
      </w:pPr>
      <w:r w:rsidRPr="003F08F4">
        <w:rPr>
          <w:b/>
          <w:sz w:val="24"/>
          <w:szCs w:val="24"/>
        </w:rPr>
        <w:t>Program Student Learning Outcomes</w:t>
      </w:r>
    </w:p>
    <w:p w:rsidR="0010596A" w:rsidRPr="00D14295" w:rsidRDefault="0010596A" w:rsidP="0010596A">
      <w:pPr>
        <w:pStyle w:val="NormalWeb"/>
        <w:ind w:left="720"/>
      </w:pPr>
      <w:r w:rsidRPr="00D14295">
        <w:t>Upon completion of this program, the student will be able to:</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synthesize</w:t>
      </w:r>
      <w:proofErr w:type="gramEnd"/>
      <w:r w:rsidRPr="00D14295">
        <w:rPr>
          <w:szCs w:val="24"/>
        </w:rPr>
        <w:t xml:space="preserve"> child development research with principles and practices for early childhood teaching to create early learning environments that are respectful, supportive, and challenging for all children, from infancy through adolescence.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design</w:t>
      </w:r>
      <w:proofErr w:type="gramEnd"/>
      <w:r w:rsidRPr="00D14295">
        <w:rPr>
          <w:szCs w:val="24"/>
        </w:rPr>
        <w:t xml:space="preserve"> inclusive, culturally and linguistically appropriate learning environments, based on child development, child observations, family information and knowledge of culturally diverse child rearing practices.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incorporate</w:t>
      </w:r>
      <w:proofErr w:type="gramEnd"/>
      <w:r w:rsidRPr="00D14295">
        <w:rPr>
          <w:szCs w:val="24"/>
        </w:rPr>
        <w:t xml:space="preserve"> strategies for building respectful, reciprocal family and community relationships in order to support families with their children’s development and learning.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assess</w:t>
      </w:r>
      <w:proofErr w:type="gramEnd"/>
      <w:r w:rsidRPr="00D14295">
        <w:rPr>
          <w:szCs w:val="24"/>
        </w:rPr>
        <w:t xml:space="preserve"> children's learning through observation, documentation, and interpretation, using results to guide curriculum and teaching strategies.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recommend</w:t>
      </w:r>
      <w:proofErr w:type="gramEnd"/>
      <w:r w:rsidRPr="00D14295">
        <w:rPr>
          <w:szCs w:val="24"/>
        </w:rPr>
        <w:t xml:space="preserve"> developmentally appropriate and culturally relevant approaches to teaching and learning that include respectful, supportive relationships with children and families, and curriculum that support foundational skills and concepts in language, math, science, art, and social relationships.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demonstrate</w:t>
      </w:r>
      <w:proofErr w:type="gramEnd"/>
      <w:r w:rsidRPr="00D14295">
        <w:rPr>
          <w:szCs w:val="24"/>
        </w:rPr>
        <w:t xml:space="preserve"> practices that maintain standards of health, nutrition, and safety in group care early childhood settings.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apply</w:t>
      </w:r>
      <w:proofErr w:type="gramEnd"/>
      <w:r w:rsidRPr="00D14295">
        <w:rPr>
          <w:szCs w:val="24"/>
        </w:rPr>
        <w:t xml:space="preserve"> ethical standards of behavior accepted by the profession of early childhood education. </w:t>
      </w:r>
    </w:p>
    <w:p w:rsidR="0010596A" w:rsidRPr="003F08F4" w:rsidRDefault="0010596A" w:rsidP="0010596A">
      <w:pPr>
        <w:tabs>
          <w:tab w:val="left" w:pos="360"/>
        </w:tabs>
        <w:rPr>
          <w:sz w:val="24"/>
          <w:szCs w:val="24"/>
        </w:rPr>
      </w:pPr>
      <w:r w:rsidRPr="003F08F4">
        <w:rPr>
          <w:sz w:val="24"/>
          <w:szCs w:val="24"/>
        </w:rPr>
        <w:lastRenderedPageBreak/>
        <w:t xml:space="preserve">The Associate in Science degree in Early Childhood Education (ECE) for Transfer (AS-T) provides a clearly articulated curricular track for students who wish to transfer to a California State University (CSU) campus, while also serving the diverse needs of students interested in the breadth and depth of the field of early childhood education. Additionally, this degree exposes students to the core principles and practices of the field in order to build a foundation for their future personal, academic, or vocational paths. </w:t>
      </w:r>
      <w:r w:rsidRPr="003F08F4">
        <w:rPr>
          <w:sz w:val="24"/>
          <w:szCs w:val="24"/>
        </w:rPr>
        <w:br/>
      </w:r>
      <w:r w:rsidRPr="003F08F4">
        <w:rPr>
          <w:sz w:val="24"/>
          <w:szCs w:val="24"/>
        </w:rPr>
        <w:br/>
        <w:t xml:space="preserve">The degree was designed to facilitate students’ successful transfer to certain CSU campuses that prepare them for advanced study in a variety of graduate programs, as well as a variety of careers such as teaching, child development specialist, program directors, and child life specialists. With a bachelor’s degree in ECE/Child Development, students are eligible for the master teacher and site supervisor levels of the California Child Development Permit, using the alternative qualifications category. </w:t>
      </w:r>
    </w:p>
    <w:p w:rsidR="0010596A" w:rsidRPr="003F08F4" w:rsidRDefault="0010596A" w:rsidP="0010596A">
      <w:pPr>
        <w:widowControl w:val="0"/>
        <w:autoSpaceDE w:val="0"/>
        <w:autoSpaceDN w:val="0"/>
        <w:adjustRightInd w:val="0"/>
        <w:rPr>
          <w:rFonts w:cs="Arial Narrow"/>
          <w:color w:val="000000"/>
          <w:sz w:val="24"/>
          <w:szCs w:val="24"/>
        </w:rPr>
      </w:pPr>
      <w:r w:rsidRPr="003F08F4">
        <w:rPr>
          <w:sz w:val="24"/>
          <w:szCs w:val="24"/>
        </w:rPr>
        <w:t>Pursuant to SB1440, section 66746, a student must complete the following requirements in order to earn an AS-T in Early Childhood Education</w:t>
      </w:r>
      <w:r w:rsidRPr="003F08F4">
        <w:rPr>
          <w:rFonts w:cs="Arial Narrow"/>
          <w:color w:val="000000"/>
          <w:sz w:val="24"/>
          <w:szCs w:val="24"/>
        </w:rPr>
        <w:t>:</w:t>
      </w:r>
    </w:p>
    <w:p w:rsidR="0010596A" w:rsidRPr="003F08F4" w:rsidRDefault="0010596A" w:rsidP="0010596A">
      <w:pPr>
        <w:widowControl w:val="0"/>
        <w:numPr>
          <w:ilvl w:val="0"/>
          <w:numId w:val="2"/>
        </w:numPr>
        <w:autoSpaceDE w:val="0"/>
        <w:autoSpaceDN w:val="0"/>
        <w:adjustRightInd w:val="0"/>
        <w:spacing w:after="0" w:line="240" w:lineRule="auto"/>
        <w:ind w:left="360" w:hanging="180"/>
        <w:rPr>
          <w:rFonts w:cs="Calibri"/>
          <w:iCs/>
          <w:sz w:val="24"/>
          <w:szCs w:val="24"/>
        </w:rPr>
      </w:pPr>
      <w:r w:rsidRPr="003F08F4">
        <w:rPr>
          <w:rFonts w:cs="Calibri"/>
          <w:iCs/>
          <w:sz w:val="24"/>
          <w:szCs w:val="24"/>
        </w:rPr>
        <w:t>Complete 60 semester units that are eligible for transfer to the California State University, including both of the following:</w:t>
      </w:r>
    </w:p>
    <w:p w:rsidR="0010596A" w:rsidRPr="003F08F4" w:rsidRDefault="0010596A" w:rsidP="0010596A">
      <w:pPr>
        <w:widowControl w:val="0"/>
        <w:numPr>
          <w:ilvl w:val="1"/>
          <w:numId w:val="2"/>
        </w:numPr>
        <w:autoSpaceDE w:val="0"/>
        <w:autoSpaceDN w:val="0"/>
        <w:adjustRightInd w:val="0"/>
        <w:spacing w:after="0" w:line="240" w:lineRule="auto"/>
        <w:rPr>
          <w:rFonts w:cs="Calibri"/>
          <w:iCs/>
          <w:sz w:val="24"/>
          <w:szCs w:val="24"/>
        </w:rPr>
      </w:pPr>
      <w:r w:rsidRPr="003F08F4">
        <w:rPr>
          <w:rFonts w:cs="Calibri"/>
          <w:iCs/>
          <w:sz w:val="24"/>
          <w:szCs w:val="24"/>
        </w:rPr>
        <w:t xml:space="preserve">The </w:t>
      </w:r>
      <w:proofErr w:type="spellStart"/>
      <w:r w:rsidRPr="003F08F4">
        <w:rPr>
          <w:rFonts w:cs="Calibri"/>
          <w:iCs/>
          <w:sz w:val="24"/>
          <w:szCs w:val="24"/>
        </w:rPr>
        <w:t>Intersegmental</w:t>
      </w:r>
      <w:proofErr w:type="spellEnd"/>
      <w:r w:rsidRPr="003F08F4">
        <w:rPr>
          <w:rFonts w:cs="Calibri"/>
          <w:iCs/>
          <w:sz w:val="24"/>
          <w:szCs w:val="24"/>
        </w:rPr>
        <w:t xml:space="preserve"> General Education Transfer Curriculum (IGETC) or the California State University General Education – Breadth Requirements.</w:t>
      </w:r>
    </w:p>
    <w:p w:rsidR="0010596A" w:rsidRPr="003F08F4" w:rsidRDefault="0010596A" w:rsidP="0010596A">
      <w:pPr>
        <w:widowControl w:val="0"/>
        <w:numPr>
          <w:ilvl w:val="1"/>
          <w:numId w:val="2"/>
        </w:numPr>
        <w:autoSpaceDE w:val="0"/>
        <w:autoSpaceDN w:val="0"/>
        <w:adjustRightInd w:val="0"/>
        <w:spacing w:after="0" w:line="240" w:lineRule="auto"/>
        <w:rPr>
          <w:rFonts w:cs="Calibri"/>
          <w:iCs/>
          <w:sz w:val="24"/>
          <w:szCs w:val="24"/>
        </w:rPr>
      </w:pPr>
      <w:r w:rsidRPr="003F08F4">
        <w:rPr>
          <w:rFonts w:cs="Calibri"/>
          <w:iCs/>
          <w:sz w:val="24"/>
          <w:szCs w:val="24"/>
        </w:rPr>
        <w:t xml:space="preserve">A minimum of 18 semester units in a major or area of emphasis, </w:t>
      </w:r>
    </w:p>
    <w:p w:rsidR="0010596A" w:rsidRPr="003F08F4" w:rsidRDefault="0010596A" w:rsidP="0010596A">
      <w:pPr>
        <w:pStyle w:val="ListParagraph"/>
        <w:widowControl w:val="0"/>
        <w:numPr>
          <w:ilvl w:val="0"/>
          <w:numId w:val="2"/>
        </w:numPr>
        <w:autoSpaceDE w:val="0"/>
        <w:autoSpaceDN w:val="0"/>
        <w:adjustRightInd w:val="0"/>
        <w:rPr>
          <w:rFonts w:asciiTheme="minorHAnsi" w:hAnsiTheme="minorHAnsi" w:cs="Cambria"/>
          <w:szCs w:val="24"/>
        </w:rPr>
      </w:pPr>
      <w:r w:rsidRPr="003F08F4">
        <w:rPr>
          <w:rFonts w:asciiTheme="minorHAnsi" w:hAnsiTheme="minorHAnsi" w:cs="Calibri"/>
          <w:iCs/>
          <w:szCs w:val="24"/>
        </w:rPr>
        <w:t>Obtainment of a minimum grade point average of 2.0.</w:t>
      </w:r>
    </w:p>
    <w:p w:rsidR="0010596A" w:rsidRDefault="0010596A" w:rsidP="0010596A">
      <w:pPr>
        <w:pStyle w:val="ListParagraph"/>
        <w:widowControl w:val="0"/>
        <w:numPr>
          <w:ilvl w:val="0"/>
          <w:numId w:val="2"/>
        </w:numPr>
        <w:autoSpaceDE w:val="0"/>
        <w:autoSpaceDN w:val="0"/>
        <w:adjustRightInd w:val="0"/>
        <w:rPr>
          <w:rFonts w:asciiTheme="minorHAnsi" w:hAnsiTheme="minorHAnsi"/>
          <w:szCs w:val="24"/>
        </w:rPr>
      </w:pPr>
      <w:r w:rsidRPr="003F08F4">
        <w:rPr>
          <w:rFonts w:asciiTheme="minorHAnsi" w:hAnsiTheme="minorHAnsi" w:cs="Calibri"/>
          <w:iCs/>
          <w:szCs w:val="24"/>
        </w:rPr>
        <w:t>Earn a grade of “C” or better in all courses required for the major or area of emphasis. A “P” (Pass) grade is not an acceptable grade for courses in the</w:t>
      </w:r>
      <w:r w:rsidRPr="003F08F4">
        <w:rPr>
          <w:rFonts w:asciiTheme="minorHAnsi" w:hAnsiTheme="minorHAnsi"/>
          <w:szCs w:val="24"/>
        </w:rPr>
        <w:br/>
      </w:r>
      <w:r w:rsidRPr="003F08F4">
        <w:rPr>
          <w:rFonts w:asciiTheme="minorHAnsi" w:hAnsiTheme="minorHAnsi"/>
          <w:szCs w:val="24"/>
        </w:rPr>
        <w:br/>
      </w: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Pr="0010596A" w:rsidRDefault="0010596A" w:rsidP="0010596A">
      <w:pPr>
        <w:widowControl w:val="0"/>
        <w:autoSpaceDE w:val="0"/>
        <w:autoSpaceDN w:val="0"/>
        <w:adjustRightInd w:val="0"/>
        <w:rPr>
          <w:szCs w:val="24"/>
        </w:rPr>
      </w:pPr>
      <w:bookmarkStart w:id="0" w:name="_GoBack"/>
      <w:bookmarkEnd w:id="0"/>
    </w:p>
    <w:p w:rsidR="0010596A" w:rsidRDefault="0010596A" w:rsidP="0010596A">
      <w:pPr>
        <w:tabs>
          <w:tab w:val="left" w:pos="360"/>
        </w:tabs>
        <w:rPr>
          <w:b/>
          <w:sz w:val="24"/>
          <w:szCs w:val="24"/>
          <w:u w:val="single"/>
        </w:rPr>
      </w:pPr>
      <w:r w:rsidRPr="003F08F4">
        <w:rPr>
          <w:rFonts w:eastAsia="Times New Roman" w:cs="Times New Roman"/>
          <w:b/>
          <w:sz w:val="24"/>
          <w:szCs w:val="24"/>
          <w:u w:val="single"/>
        </w:rPr>
        <w:lastRenderedPageBreak/>
        <w:t xml:space="preserve">ITEM 3: </w:t>
      </w:r>
      <w:r w:rsidRPr="003F08F4">
        <w:rPr>
          <w:b/>
          <w:sz w:val="24"/>
          <w:szCs w:val="24"/>
          <w:u w:val="single"/>
        </w:rPr>
        <w:t>Program Requirements</w:t>
      </w:r>
    </w:p>
    <w:p w:rsidR="0010596A" w:rsidRPr="003F08F4" w:rsidRDefault="0010596A" w:rsidP="0010596A">
      <w:pPr>
        <w:tabs>
          <w:tab w:val="left" w:pos="360"/>
        </w:tabs>
        <w:rPr>
          <w:sz w:val="24"/>
          <w:szCs w:val="24"/>
        </w:rPr>
      </w:pPr>
      <w:r>
        <w:rPr>
          <w:sz w:val="24"/>
          <w:szCs w:val="24"/>
        </w:rPr>
        <w:t>The AS-T in Early Childhood Education requires a total of 26 major units of required courses as listed below.  A minimum grade of “C” is required in all courses.</w:t>
      </w:r>
    </w:p>
    <w:p w:rsidR="0010596A" w:rsidRPr="003F08F4" w:rsidRDefault="0010596A" w:rsidP="0010596A">
      <w:pPr>
        <w:tabs>
          <w:tab w:val="left" w:pos="360"/>
        </w:tabs>
        <w:rPr>
          <w:b/>
          <w:szCs w:val="24"/>
          <w:u w:val="single"/>
        </w:rPr>
      </w:pPr>
    </w:p>
    <w:tbl>
      <w:tblPr>
        <w:tblW w:w="0" w:type="auto"/>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738"/>
        <w:gridCol w:w="545"/>
        <w:gridCol w:w="6871"/>
        <w:gridCol w:w="186"/>
        <w:gridCol w:w="317"/>
      </w:tblGrid>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120</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Introduction to Principles and Practic</w:t>
            </w:r>
            <w:r>
              <w:rPr>
                <w:sz w:val="24"/>
                <w:szCs w:val="24"/>
              </w:rPr>
              <w:t>es of</w:t>
            </w:r>
            <w:r w:rsidRPr="003F08F4">
              <w:rPr>
                <w:sz w:val="24"/>
                <w:szCs w:val="24"/>
              </w:rPr>
              <w:t xml:space="preserve"> Early Childhood Education</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121</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 xml:space="preserve">Child Growth &amp;  Development </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220</w:t>
            </w:r>
          </w:p>
        </w:tc>
        <w:tc>
          <w:tcPr>
            <w:tcW w:w="0" w:type="auto"/>
            <w:shd w:val="clear" w:color="auto" w:fill="FFFFFF"/>
            <w:vAlign w:val="center"/>
            <w:hideMark/>
          </w:tcPr>
          <w:p w:rsidR="0010596A" w:rsidRPr="003F08F4" w:rsidRDefault="0010596A" w:rsidP="000B3ACD">
            <w:pPr>
              <w:rPr>
                <w:sz w:val="24"/>
                <w:szCs w:val="24"/>
              </w:rPr>
            </w:pPr>
            <w:r>
              <w:rPr>
                <w:sz w:val="24"/>
                <w:szCs w:val="24"/>
              </w:rPr>
              <w:t xml:space="preserve">The </w:t>
            </w:r>
            <w:r w:rsidRPr="003F08F4">
              <w:rPr>
                <w:sz w:val="24"/>
                <w:szCs w:val="24"/>
              </w:rPr>
              <w:t xml:space="preserve">Child, Family and Community </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124</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 xml:space="preserve">Curriculum Development </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290</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 xml:space="preserve">Student Teaching/Practicum </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5</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109</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 xml:space="preserve">Observation, Assessment, and Child Guidance </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133</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Health, Nutrition and Safety</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 xml:space="preserve">ECHD </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144</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 xml:space="preserve">Teaching in a Diverse Society  </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gridSpan w:val="5"/>
            <w:shd w:val="clear" w:color="auto" w:fill="FFFFFF"/>
            <w:vAlign w:val="center"/>
            <w:hideMark/>
          </w:tcPr>
          <w:p w:rsidR="0010596A" w:rsidRPr="003F08F4" w:rsidRDefault="0010596A" w:rsidP="000B3ACD">
            <w:pPr>
              <w:rPr>
                <w:sz w:val="24"/>
                <w:szCs w:val="24"/>
              </w:rPr>
            </w:pPr>
            <w:r>
              <w:rPr>
                <w:sz w:val="24"/>
                <w:szCs w:val="24"/>
              </w:rPr>
              <w:pict>
                <v:rect id="_x0000_i1025" style="width:0;height:1.5pt" o:hralign="center" o:hrstd="t" o:hr="t" fillcolor="gray" stroked="f"/>
              </w:pict>
            </w:r>
          </w:p>
        </w:tc>
      </w:tr>
    </w:tbl>
    <w:p w:rsidR="0010596A" w:rsidRDefault="0010596A" w:rsidP="0010596A">
      <w:pPr>
        <w:spacing w:after="0" w:line="240" w:lineRule="auto"/>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620"/>
      </w:tblGrid>
      <w:tr w:rsidR="0010596A" w:rsidRPr="003F08F4" w:rsidTr="000B3ACD">
        <w:trPr>
          <w:trHeight w:val="50"/>
          <w:jc w:val="right"/>
        </w:trPr>
        <w:tc>
          <w:tcPr>
            <w:tcW w:w="513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Major Total:</w:t>
            </w:r>
          </w:p>
        </w:tc>
        <w:tc>
          <w:tcPr>
            <w:tcW w:w="162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26 units</w:t>
            </w:r>
          </w:p>
        </w:tc>
      </w:tr>
      <w:tr w:rsidR="0010596A" w:rsidRPr="003F08F4" w:rsidTr="000B3ACD">
        <w:trPr>
          <w:jc w:val="right"/>
        </w:trPr>
        <w:tc>
          <w:tcPr>
            <w:tcW w:w="513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 xml:space="preserve">Total Units That May Be Double-Counted: </w:t>
            </w:r>
          </w:p>
        </w:tc>
        <w:tc>
          <w:tcPr>
            <w:tcW w:w="162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6 units</w:t>
            </w:r>
          </w:p>
        </w:tc>
      </w:tr>
      <w:tr w:rsidR="0010596A" w:rsidRPr="003F08F4" w:rsidTr="000B3ACD">
        <w:trPr>
          <w:jc w:val="right"/>
        </w:trPr>
        <w:tc>
          <w:tcPr>
            <w:tcW w:w="513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General Education (CSU):</w:t>
            </w:r>
          </w:p>
        </w:tc>
        <w:tc>
          <w:tcPr>
            <w:tcW w:w="162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39 units</w:t>
            </w:r>
          </w:p>
        </w:tc>
      </w:tr>
      <w:tr w:rsidR="0010596A" w:rsidRPr="003F08F4" w:rsidTr="000B3ACD">
        <w:trPr>
          <w:jc w:val="right"/>
        </w:trPr>
        <w:tc>
          <w:tcPr>
            <w:tcW w:w="513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Electives (CSU Transferrable):</w:t>
            </w:r>
          </w:p>
        </w:tc>
        <w:tc>
          <w:tcPr>
            <w:tcW w:w="162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1 unit</w:t>
            </w:r>
          </w:p>
        </w:tc>
      </w:tr>
      <w:tr w:rsidR="0010596A" w:rsidRPr="003F08F4" w:rsidTr="000B3ACD">
        <w:trPr>
          <w:jc w:val="right"/>
        </w:trPr>
        <w:tc>
          <w:tcPr>
            <w:tcW w:w="513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Degree Total:</w:t>
            </w:r>
          </w:p>
        </w:tc>
        <w:tc>
          <w:tcPr>
            <w:tcW w:w="162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60 units</w:t>
            </w:r>
          </w:p>
        </w:tc>
      </w:tr>
    </w:tbl>
    <w:p w:rsidR="00F54567" w:rsidRDefault="00F54567"/>
    <w:sectPr w:rsidR="00F5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1A36"/>
    <w:multiLevelType w:val="multilevel"/>
    <w:tmpl w:val="5F0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D7BC4"/>
    <w:multiLevelType w:val="hybridMultilevel"/>
    <w:tmpl w:val="B188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6A"/>
    <w:rsid w:val="0010596A"/>
    <w:rsid w:val="00F5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96A"/>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0596A"/>
    <w:rPr>
      <w:sz w:val="16"/>
      <w:szCs w:val="16"/>
    </w:rPr>
  </w:style>
  <w:style w:type="paragraph" w:styleId="CommentText">
    <w:name w:val="annotation text"/>
    <w:basedOn w:val="Normal"/>
    <w:link w:val="CommentTextChar"/>
    <w:uiPriority w:val="99"/>
    <w:semiHidden/>
    <w:unhideWhenUsed/>
    <w:rsid w:val="0010596A"/>
    <w:pPr>
      <w:spacing w:line="240" w:lineRule="auto"/>
    </w:pPr>
    <w:rPr>
      <w:sz w:val="20"/>
      <w:szCs w:val="20"/>
    </w:rPr>
  </w:style>
  <w:style w:type="character" w:customStyle="1" w:styleId="CommentTextChar">
    <w:name w:val="Comment Text Char"/>
    <w:basedOn w:val="DefaultParagraphFont"/>
    <w:link w:val="CommentText"/>
    <w:uiPriority w:val="99"/>
    <w:semiHidden/>
    <w:rsid w:val="0010596A"/>
    <w:rPr>
      <w:sz w:val="20"/>
      <w:szCs w:val="20"/>
    </w:rPr>
  </w:style>
  <w:style w:type="paragraph" w:styleId="BalloonText">
    <w:name w:val="Balloon Text"/>
    <w:basedOn w:val="Normal"/>
    <w:link w:val="BalloonTextChar"/>
    <w:uiPriority w:val="99"/>
    <w:semiHidden/>
    <w:unhideWhenUsed/>
    <w:rsid w:val="0010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96A"/>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0596A"/>
    <w:rPr>
      <w:sz w:val="16"/>
      <w:szCs w:val="16"/>
    </w:rPr>
  </w:style>
  <w:style w:type="paragraph" w:styleId="CommentText">
    <w:name w:val="annotation text"/>
    <w:basedOn w:val="Normal"/>
    <w:link w:val="CommentTextChar"/>
    <w:uiPriority w:val="99"/>
    <w:semiHidden/>
    <w:unhideWhenUsed/>
    <w:rsid w:val="0010596A"/>
    <w:pPr>
      <w:spacing w:line="240" w:lineRule="auto"/>
    </w:pPr>
    <w:rPr>
      <w:sz w:val="20"/>
      <w:szCs w:val="20"/>
    </w:rPr>
  </w:style>
  <w:style w:type="character" w:customStyle="1" w:styleId="CommentTextChar">
    <w:name w:val="Comment Text Char"/>
    <w:basedOn w:val="DefaultParagraphFont"/>
    <w:link w:val="CommentText"/>
    <w:uiPriority w:val="99"/>
    <w:semiHidden/>
    <w:rsid w:val="0010596A"/>
    <w:rPr>
      <w:sz w:val="20"/>
      <w:szCs w:val="20"/>
    </w:rPr>
  </w:style>
  <w:style w:type="paragraph" w:styleId="BalloonText">
    <w:name w:val="Balloon Text"/>
    <w:basedOn w:val="Normal"/>
    <w:link w:val="BalloonTextChar"/>
    <w:uiPriority w:val="99"/>
    <w:semiHidden/>
    <w:unhideWhenUsed/>
    <w:rsid w:val="0010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1</cp:revision>
  <dcterms:created xsi:type="dcterms:W3CDTF">2014-09-29T07:18:00Z</dcterms:created>
  <dcterms:modified xsi:type="dcterms:W3CDTF">2014-09-29T07:25:00Z</dcterms:modified>
</cp:coreProperties>
</file>